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9C1" w:rsidRDefault="001A49C1" w:rsidP="001A49C1">
      <w:pPr>
        <w:pStyle w:val="a3"/>
        <w:tabs>
          <w:tab w:val="left" w:pos="10240"/>
        </w:tabs>
        <w:spacing w:before="0" w:beforeAutospacing="0" w:after="0" w:afterAutospacing="0"/>
        <w:jc w:val="right"/>
        <w:rPr>
          <w:bCs/>
          <w:iCs/>
        </w:rPr>
      </w:pPr>
      <w:r>
        <w:rPr>
          <w:bCs/>
          <w:iCs/>
        </w:rPr>
        <w:t xml:space="preserve">Приложение </w:t>
      </w:r>
    </w:p>
    <w:p w:rsidR="001A49C1" w:rsidRDefault="001A49C1" w:rsidP="001A49C1">
      <w:pPr>
        <w:pStyle w:val="a3"/>
        <w:tabs>
          <w:tab w:val="left" w:pos="10240"/>
        </w:tabs>
        <w:spacing w:before="0" w:beforeAutospacing="0" w:after="0" w:afterAutospacing="0"/>
        <w:jc w:val="right"/>
        <w:rPr>
          <w:bCs/>
          <w:iCs/>
        </w:rPr>
      </w:pPr>
      <w:r>
        <w:rPr>
          <w:bCs/>
          <w:iCs/>
        </w:rPr>
        <w:t xml:space="preserve">к решению Собрания депутатов </w:t>
      </w:r>
    </w:p>
    <w:p w:rsidR="001A49C1" w:rsidRDefault="001A49C1" w:rsidP="001A49C1">
      <w:pPr>
        <w:pStyle w:val="a3"/>
        <w:tabs>
          <w:tab w:val="left" w:pos="10240"/>
        </w:tabs>
        <w:spacing w:before="0" w:beforeAutospacing="0" w:after="0" w:afterAutospacing="0"/>
        <w:jc w:val="right"/>
        <w:rPr>
          <w:bCs/>
          <w:iCs/>
        </w:rPr>
      </w:pPr>
      <w:r>
        <w:rPr>
          <w:bCs/>
          <w:iCs/>
        </w:rPr>
        <w:t xml:space="preserve">Чебаркульского  городского округа </w:t>
      </w:r>
    </w:p>
    <w:p w:rsidR="001A49C1" w:rsidRPr="00600F0A" w:rsidRDefault="001A49C1" w:rsidP="001A49C1">
      <w:pPr>
        <w:pStyle w:val="a3"/>
        <w:spacing w:before="0" w:beforeAutospacing="0" w:after="0" w:afterAutospacing="0"/>
        <w:jc w:val="righ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proofErr w:type="gramStart"/>
      <w:r>
        <w:rPr>
          <w:bCs/>
          <w:iCs/>
        </w:rPr>
        <w:t>от  «</w:t>
      </w:r>
      <w:proofErr w:type="gramEnd"/>
      <w:r w:rsidR="001F20F8">
        <w:rPr>
          <w:bCs/>
          <w:iCs/>
        </w:rPr>
        <w:t>_</w:t>
      </w:r>
      <w:r w:rsidR="00AA0AF7">
        <w:rPr>
          <w:bCs/>
          <w:iCs/>
        </w:rPr>
        <w:t>11</w:t>
      </w:r>
      <w:r w:rsidR="001F20F8">
        <w:rPr>
          <w:bCs/>
          <w:iCs/>
        </w:rPr>
        <w:t>_</w:t>
      </w:r>
      <w:r>
        <w:rPr>
          <w:bCs/>
          <w:iCs/>
        </w:rPr>
        <w:t>»  марта    202</w:t>
      </w:r>
      <w:r w:rsidR="001F20F8">
        <w:rPr>
          <w:bCs/>
          <w:iCs/>
        </w:rPr>
        <w:t>5</w:t>
      </w:r>
      <w:r>
        <w:rPr>
          <w:bCs/>
          <w:iCs/>
        </w:rPr>
        <w:t xml:space="preserve">  г. № </w:t>
      </w:r>
      <w:r w:rsidR="00A827D5">
        <w:rPr>
          <w:bCs/>
          <w:iCs/>
        </w:rPr>
        <w:t>8</w:t>
      </w:r>
      <w:bookmarkStart w:id="0" w:name="_GoBack"/>
      <w:bookmarkEnd w:id="0"/>
      <w:r w:rsidR="00AA0AF7">
        <w:rPr>
          <w:bCs/>
          <w:iCs/>
        </w:rPr>
        <w:t>51/537</w:t>
      </w:r>
    </w:p>
    <w:p w:rsidR="001A49C1" w:rsidRDefault="001A49C1" w:rsidP="001A49C1">
      <w:pPr>
        <w:pStyle w:val="a3"/>
        <w:jc w:val="right"/>
        <w:rPr>
          <w:bCs/>
          <w:iCs/>
        </w:rPr>
      </w:pPr>
    </w:p>
    <w:p w:rsidR="001A49C1" w:rsidRDefault="001A49C1" w:rsidP="001A49C1">
      <w:pPr>
        <w:pStyle w:val="a3"/>
        <w:spacing w:before="0" w:beforeAutospacing="0" w:after="0" w:afterAutospacing="0"/>
        <w:jc w:val="center"/>
      </w:pPr>
      <w:r>
        <w:t>ПЛАН  РАБОТЫ</w:t>
      </w:r>
    </w:p>
    <w:p w:rsidR="001A49C1" w:rsidRDefault="001A49C1" w:rsidP="001A49C1">
      <w:pPr>
        <w:pStyle w:val="a3"/>
        <w:spacing w:before="0" w:beforeAutospacing="0" w:after="0" w:afterAutospacing="0"/>
        <w:jc w:val="center"/>
      </w:pPr>
      <w:proofErr w:type="gramStart"/>
      <w:r>
        <w:t>СОБРАНИЯ  ДЕПУТАТОВ</w:t>
      </w:r>
      <w:proofErr w:type="gramEnd"/>
      <w:r>
        <w:t xml:space="preserve"> ЧЕБАРКУЛЬСКОГО ГОРОДСКОГО ОКРУГА  </w:t>
      </w:r>
      <w:r>
        <w:rPr>
          <w:lang w:val="en-US"/>
        </w:rPr>
        <w:t>VI</w:t>
      </w:r>
      <w:r>
        <w:t xml:space="preserve">  СОЗЫВА    НА   ВТОРОЙ  КВАРТАЛ  </w:t>
      </w:r>
      <w:r>
        <w:rPr>
          <w:sz w:val="28"/>
          <w:szCs w:val="28"/>
        </w:rPr>
        <w:t>202</w:t>
      </w:r>
      <w:r w:rsidR="001F20F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E2FFE">
        <w:rPr>
          <w:sz w:val="28"/>
          <w:szCs w:val="28"/>
        </w:rPr>
        <w:t>а</w:t>
      </w:r>
    </w:p>
    <w:tbl>
      <w:tblPr>
        <w:tblW w:w="15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4439"/>
        <w:gridCol w:w="3837"/>
        <w:gridCol w:w="2998"/>
        <w:gridCol w:w="2768"/>
      </w:tblGrid>
      <w:tr w:rsidR="001A49C1" w:rsidTr="001C0230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1" w:rsidRDefault="001A49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1" w:rsidRDefault="001A49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вопроса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1" w:rsidRDefault="001A49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Основание, инициатива о включении в повестку дня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1" w:rsidRDefault="001A49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лица (руководители, кураторы), наименование подразделения,  осуществляющего подготовку</w:t>
            </w:r>
          </w:p>
          <w:p w:rsidR="001A49C1" w:rsidRDefault="001A49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внесение проекта  в Собрание депутатов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1" w:rsidRDefault="001A49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 депутатская комиссия (ПДК) Собрания, ответственная за предварительное рассмотрение</w:t>
            </w:r>
          </w:p>
        </w:tc>
      </w:tr>
      <w:tr w:rsidR="001A49C1" w:rsidTr="001C0230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1" w:rsidRDefault="001A49C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1" w:rsidRDefault="001A49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1" w:rsidRDefault="001A49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1" w:rsidRDefault="001A49C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C1" w:rsidRDefault="001A49C1">
            <w:pPr>
              <w:spacing w:line="276" w:lineRule="auto"/>
              <w:jc w:val="center"/>
            </w:pPr>
            <w:r>
              <w:t>5</w:t>
            </w: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  <w:rPr>
                <w:b/>
              </w:rPr>
            </w:pPr>
            <w:r w:rsidRPr="001F20F8">
              <w:rPr>
                <w:b/>
              </w:rPr>
              <w:t>Апрель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rPr>
                <w:b/>
              </w:rPr>
              <w:t>01.04.2025г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О публичных слушаниях по проекту решения Собрания депутатов «Об утверждении отчета по исполнению бюджета муниципального образования «Чебаркульский городской округ» за 2024 год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Устав муниципального образования «Чебаркульский городской округ», Регламент Собрания депутатов;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Положение о бюджетном процессе в муниципальном образовании «Чебаркульский городской округ»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Заместитель главы городского округа по бюджетному процессу, начальник финансового управления, управляющий делами администрации,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 xml:space="preserve">Управляющий делами Собрания депутатов 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ПДК по бюджетно-финансовой и экономической политике</w:t>
            </w: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D07EBC" w:rsidRDefault="001F20F8" w:rsidP="001F20F8">
            <w:pPr>
              <w:spacing w:line="276" w:lineRule="auto"/>
              <w:jc w:val="center"/>
            </w:pPr>
            <w:r>
              <w:t xml:space="preserve">О проделанной работе Чебаркульского ГОСП по взысканию недоимок с должников перед МО «Чебаркульский городской округ» за 2024 год (динамика 2022-2023 </w:t>
            </w:r>
            <w:proofErr w:type="spellStart"/>
            <w:r>
              <w:t>г.г</w:t>
            </w:r>
            <w:proofErr w:type="spellEnd"/>
            <w:r>
              <w:t>.)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Устав муниципального образования «Чебаркульский городской округ»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Старший судебный пристав Чебаркульского ГОСП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бюджетно-финансовой и экономической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нормотворчеству…</w:t>
            </w: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 w:rsidRPr="00D07EBC">
              <w:t xml:space="preserve">О работе системы водоотведения </w:t>
            </w:r>
            <w:proofErr w:type="gramStart"/>
            <w:r w:rsidRPr="00D07EBC">
              <w:t>ливневых  (</w:t>
            </w:r>
            <w:proofErr w:type="gramEnd"/>
            <w:r w:rsidRPr="00D07EBC">
              <w:t>дождевых) сточных вод на территории МО Чебаркульский  г</w:t>
            </w:r>
            <w:r>
              <w:t>ородской округ в 2025</w:t>
            </w:r>
            <w:r w:rsidRPr="00D07EBC">
              <w:t xml:space="preserve"> году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Устав муниципального образования «Чебаркульский городской округ», Регламент Собрания депутатов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заместитель главы городского округа по городскому хозяйству; начальник УЖКХ,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О подготовке городского пляжа к открытию купального сезона в 2025</w:t>
            </w:r>
          </w:p>
          <w:p w:rsidR="001F20F8" w:rsidRPr="00D07EBC" w:rsidRDefault="001F20F8" w:rsidP="001F20F8">
            <w:pPr>
              <w:spacing w:line="276" w:lineRule="auto"/>
              <w:jc w:val="center"/>
            </w:pPr>
            <w:r>
              <w:t xml:space="preserve"> году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Устав муниципального образования «Чебаркульский городской округ»,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Заместитель главы по городскому хозяйству, начальник УЖКХ,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экологии, природопользованию, и туризму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О ходе выполнения   наказов </w:t>
            </w:r>
            <w:proofErr w:type="gramStart"/>
            <w:r>
              <w:t>избирателей  данных</w:t>
            </w:r>
            <w:proofErr w:type="gramEnd"/>
            <w:r>
              <w:t xml:space="preserve"> депутатам Собрания депутатов </w:t>
            </w:r>
          </w:p>
          <w:p w:rsidR="001F20F8" w:rsidRDefault="001F20F8" w:rsidP="001F20F8">
            <w:pPr>
              <w:spacing w:line="276" w:lineRule="auto"/>
              <w:jc w:val="center"/>
            </w:pPr>
            <w:r w:rsidRPr="001F20F8">
              <w:t>VI</w:t>
            </w:r>
            <w:r>
              <w:t xml:space="preserve"> </w:t>
            </w:r>
            <w:proofErr w:type="gramStart"/>
            <w:r>
              <w:t>созыва  за</w:t>
            </w:r>
            <w:proofErr w:type="gramEnd"/>
            <w:r>
              <w:t xml:space="preserve"> первый квартала 2025 года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Устав муниципального образования «Чебаркульский городской округ»,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  <w:r>
              <w:t>Порядок организации работы с наказами избирателей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Председатель Собрания депутатов;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Глава Чебаркульского городского округа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Главные распорядители бюджетных средств по соответствующей МП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нормотворчеству…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бюджетно-финансовой и экономической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ПДК по </w:t>
            </w:r>
            <w:proofErr w:type="gramStart"/>
            <w:r w:rsidRPr="001F20F8">
              <w:t>социальной  и</w:t>
            </w:r>
            <w:proofErr w:type="gramEnd"/>
            <w:r w:rsidRPr="001F20F8">
              <w:t xml:space="preserve"> молодежной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экологии, природопользованию, и туризму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 w:rsidRPr="001F20F8">
              <w:t xml:space="preserve">Отчёт о результатах работы </w:t>
            </w:r>
            <w:proofErr w:type="gramStart"/>
            <w:r w:rsidRPr="001F20F8">
              <w:t>Управления  жилищно</w:t>
            </w:r>
            <w:proofErr w:type="gramEnd"/>
            <w:r w:rsidRPr="001F20F8">
              <w:t xml:space="preserve">-коммунального хозяйства администрации Чебаркульского городского округа за 2024 год,  исполнение муниципальных программ, планы, перспективы на 2025 год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Устав муниципального образования «Чебаркульский городской округ»,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заместитель главы городского округа по городскому хозяйству; начальник УЖКХ,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  <w:rPr>
                <w:b/>
              </w:rPr>
            </w:pPr>
            <w:r w:rsidRPr="001F20F8">
              <w:rPr>
                <w:b/>
              </w:rPr>
              <w:t>Май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rPr>
                <w:b/>
              </w:rPr>
              <w:t>06.05.2025г</w:t>
            </w:r>
            <w:r w:rsidRPr="001F20F8">
              <w:t>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Об утверждении отчета по исполнению бюджета муниципального образования «Чебаркульский городской округ» за 2024 год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Устав Чебаркульского городского округа,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 xml:space="preserve">Положение о бюджетном процессе муниципального образования «Чебаркульский городской округ»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Заместитель главы городского округа по бюджетному процессу, начальник Финансового управления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proofErr w:type="gramStart"/>
            <w:r>
              <w:t>ПДК  по</w:t>
            </w:r>
            <w:proofErr w:type="gramEnd"/>
            <w:r>
              <w:t xml:space="preserve"> бюджетно-финансовой и экономической политике</w:t>
            </w:r>
          </w:p>
        </w:tc>
      </w:tr>
      <w:tr w:rsidR="001F20F8" w:rsidRPr="00E9372E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E9372E" w:rsidRDefault="001F20F8" w:rsidP="001F20F8">
            <w:pPr>
              <w:spacing w:line="276" w:lineRule="auto"/>
              <w:jc w:val="center"/>
            </w:pPr>
            <w:r w:rsidRPr="00E9372E">
              <w:t xml:space="preserve">О подготовке к </w:t>
            </w:r>
            <w:r>
              <w:t xml:space="preserve">муниципальным </w:t>
            </w:r>
            <w:r w:rsidRPr="00E9372E">
              <w:t>выборам</w:t>
            </w:r>
            <w:r>
              <w:t xml:space="preserve"> в 2025 году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E9372E" w:rsidRDefault="001F20F8" w:rsidP="001F20F8">
            <w:pPr>
              <w:spacing w:line="276" w:lineRule="auto"/>
              <w:jc w:val="center"/>
            </w:pPr>
            <w:r w:rsidRPr="00E9372E">
              <w:t xml:space="preserve">Устав муниципального образования «Чебаркульский городской округ», </w:t>
            </w:r>
          </w:p>
          <w:p w:rsidR="001F20F8" w:rsidRPr="00E9372E" w:rsidRDefault="001F20F8" w:rsidP="001F20F8">
            <w:pPr>
              <w:spacing w:line="276" w:lineRule="auto"/>
              <w:jc w:val="center"/>
            </w:pPr>
            <w:r w:rsidRPr="00E9372E">
              <w:t>Регламент Собрания депутатов</w:t>
            </w:r>
          </w:p>
          <w:p w:rsidR="001F20F8" w:rsidRPr="00E9372E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E9372E" w:rsidRDefault="001F20F8" w:rsidP="001F20F8">
            <w:pPr>
              <w:spacing w:line="276" w:lineRule="auto"/>
              <w:jc w:val="center"/>
            </w:pPr>
            <w:r w:rsidRPr="00E9372E">
              <w:t>Руководитель Т</w:t>
            </w:r>
            <w:r>
              <w:t>ИК</w:t>
            </w:r>
            <w:r w:rsidRPr="00E9372E">
              <w:t>,</w:t>
            </w:r>
          </w:p>
          <w:p w:rsidR="001F20F8" w:rsidRPr="00E9372E" w:rsidRDefault="001F20F8" w:rsidP="001F20F8">
            <w:pPr>
              <w:spacing w:line="276" w:lineRule="auto"/>
              <w:jc w:val="center"/>
            </w:pPr>
            <w:r w:rsidRPr="00E9372E">
              <w:t>Управляющий делами администрации;</w:t>
            </w:r>
          </w:p>
          <w:p w:rsidR="001F20F8" w:rsidRPr="00E9372E" w:rsidRDefault="001F20F8" w:rsidP="001F20F8">
            <w:pPr>
              <w:spacing w:line="276" w:lineRule="auto"/>
              <w:jc w:val="center"/>
            </w:pPr>
            <w:r w:rsidRPr="00E9372E">
              <w:t>Управляющий делами СД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E9372E" w:rsidRDefault="001F20F8" w:rsidP="001F20F8">
            <w:pPr>
              <w:spacing w:line="276" w:lineRule="auto"/>
              <w:jc w:val="center"/>
            </w:pPr>
            <w:r w:rsidRPr="00E9372E">
              <w:t>ПДК по нормотворчеству…</w:t>
            </w:r>
          </w:p>
        </w:tc>
      </w:tr>
      <w:tr w:rsidR="001F20F8" w:rsidRPr="008D3207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8D3207" w:rsidRDefault="001F20F8" w:rsidP="001F20F8">
            <w:pPr>
              <w:spacing w:line="276" w:lineRule="auto"/>
              <w:jc w:val="center"/>
            </w:pPr>
            <w:r w:rsidRPr="008D3207">
              <w:t>О диспансеризации работающего населения на территории Чебаркульского городского округа в 2025 году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8D3207" w:rsidRDefault="001F20F8" w:rsidP="001F20F8">
            <w:pPr>
              <w:spacing w:line="276" w:lineRule="auto"/>
              <w:jc w:val="center"/>
            </w:pPr>
            <w:r w:rsidRPr="008D3207">
              <w:t xml:space="preserve">Устав муниципального образования «Чебаркульский городской округ», </w:t>
            </w:r>
          </w:p>
          <w:p w:rsidR="001F20F8" w:rsidRPr="008D3207" w:rsidRDefault="001F20F8" w:rsidP="001F20F8">
            <w:pPr>
              <w:spacing w:line="276" w:lineRule="auto"/>
              <w:jc w:val="center"/>
            </w:pPr>
            <w:r w:rsidRPr="008D3207">
              <w:t>Регламент Собрания депутатов</w:t>
            </w:r>
          </w:p>
          <w:p w:rsidR="001F20F8" w:rsidRPr="008D3207" w:rsidRDefault="001F20F8" w:rsidP="001F20F8">
            <w:pPr>
              <w:spacing w:line="276" w:lineRule="auto"/>
              <w:jc w:val="center"/>
            </w:pPr>
          </w:p>
          <w:p w:rsidR="001F20F8" w:rsidRPr="008D3207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8D3207" w:rsidRDefault="001F20F8" w:rsidP="001F20F8">
            <w:pPr>
              <w:spacing w:line="276" w:lineRule="auto"/>
              <w:jc w:val="center"/>
            </w:pPr>
            <w:r w:rsidRPr="008D3207">
              <w:t>Заместитель главы городского округа по социальным вопросам, Главный врач ГБУЗ «Областная больница город Чебаркуль»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социальной и молодежной политике</w:t>
            </w: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О деятельности </w:t>
            </w:r>
            <w:proofErr w:type="gramStart"/>
            <w:r>
              <w:t>Общественной  молодежной</w:t>
            </w:r>
            <w:proofErr w:type="gramEnd"/>
            <w:r>
              <w:t xml:space="preserve"> палаты при Собрании депутатов  Чебаркульского городского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округа за 2024г., планы перспективы на 2025 г.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Устав муниципального образования «Чебаркульский городской округ»,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Председатель Собрания депутатов,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Председатель Общественной молодежной палаты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ПДК по социальной и молодежной политике </w:t>
            </w: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О подготовке образовательных учреждений к летней оздоровительной кампании 2025 года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Устав муниципального образования «Чебаркульский городской округ»,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Заместитель главы городского округа по социальным вопросам,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 xml:space="preserve">начальник </w:t>
            </w:r>
            <w:proofErr w:type="gramStart"/>
            <w:r>
              <w:t>Управления  образования</w:t>
            </w:r>
            <w:proofErr w:type="gramEnd"/>
            <w:r>
              <w:t xml:space="preserve"> администрации, начальник Управления культуры администрации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социальной и молодежной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</w:tr>
      <w:tr w:rsidR="001F20F8" w:rsidRPr="006A1F1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6A1F18" w:rsidRDefault="001F20F8" w:rsidP="001F20F8">
            <w:pPr>
              <w:spacing w:line="276" w:lineRule="auto"/>
              <w:jc w:val="center"/>
            </w:pPr>
            <w:r w:rsidRPr="006A1F18">
              <w:t>О мерах, принимаемых администрацией Чебаркульского городского округа по созданию условий для безопасного дорожного движения на территории города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6A1F18" w:rsidRDefault="001F20F8" w:rsidP="001F20F8">
            <w:pPr>
              <w:spacing w:line="276" w:lineRule="auto"/>
              <w:jc w:val="center"/>
            </w:pPr>
            <w:r w:rsidRPr="006A1F18">
              <w:t xml:space="preserve">Устав муниципального образования «Чебаркульский городской округ», </w:t>
            </w:r>
          </w:p>
          <w:p w:rsidR="001F20F8" w:rsidRPr="006A1F18" w:rsidRDefault="001F20F8" w:rsidP="001F20F8">
            <w:pPr>
              <w:spacing w:line="276" w:lineRule="auto"/>
              <w:jc w:val="center"/>
            </w:pPr>
            <w:r w:rsidRPr="006A1F18">
              <w:t>Регламент Собрания депутатов</w:t>
            </w:r>
          </w:p>
          <w:p w:rsidR="001F20F8" w:rsidRPr="006A1F18" w:rsidRDefault="001F20F8" w:rsidP="001F20F8">
            <w:pPr>
              <w:spacing w:line="276" w:lineRule="auto"/>
              <w:jc w:val="center"/>
            </w:pPr>
          </w:p>
          <w:p w:rsidR="001F20F8" w:rsidRPr="006A1F1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6A1F18" w:rsidRDefault="001F20F8" w:rsidP="001F20F8">
            <w:pPr>
              <w:spacing w:line="276" w:lineRule="auto"/>
              <w:jc w:val="center"/>
            </w:pPr>
            <w:r w:rsidRPr="006A1F18">
              <w:t>Заместитель главы городского округа, начальник УЖКХ</w:t>
            </w:r>
          </w:p>
          <w:p w:rsidR="001F20F8" w:rsidRPr="006A1F1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6A1F18" w:rsidRDefault="001F20F8" w:rsidP="001F20F8">
            <w:pPr>
              <w:spacing w:line="276" w:lineRule="auto"/>
              <w:jc w:val="center"/>
            </w:pPr>
            <w:r w:rsidRPr="006A1F18">
              <w:t>ПДК по городскому хозяйству,</w:t>
            </w:r>
          </w:p>
          <w:p w:rsidR="001F20F8" w:rsidRPr="006A1F18" w:rsidRDefault="001F20F8" w:rsidP="001F20F8">
            <w:pPr>
              <w:spacing w:line="276" w:lineRule="auto"/>
              <w:jc w:val="center"/>
            </w:pPr>
            <w:r w:rsidRPr="006A1F18">
              <w:t>по нормотворчеству…</w:t>
            </w:r>
          </w:p>
        </w:tc>
      </w:tr>
      <w:tr w:rsidR="001F20F8" w:rsidRPr="00D96155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Отчёт о результатах работы </w:t>
            </w:r>
            <w:proofErr w:type="gramStart"/>
            <w:r w:rsidRPr="001F20F8">
              <w:t>Управления  жилищно</w:t>
            </w:r>
            <w:proofErr w:type="gramEnd"/>
            <w:r w:rsidRPr="001F20F8">
              <w:t xml:space="preserve">-коммунального хозяйства администрации Чебаркульского городского округа за 2024 год,  исполнение муниципальных программ, планы, перспективы на 2025 год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Устав муниципального образования «Чебаркульский городской округ»,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заместитель главы городского округа по городскому хозяйству; начальник УЖКХ,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О ходе выполнения   наказов </w:t>
            </w:r>
            <w:proofErr w:type="gramStart"/>
            <w:r>
              <w:t>избирателей  данных</w:t>
            </w:r>
            <w:proofErr w:type="gramEnd"/>
            <w:r>
              <w:t xml:space="preserve"> депутатам Собрания депутатов 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proofErr w:type="spellStart"/>
            <w:r w:rsidRPr="001F20F8">
              <w:t>VI</w:t>
            </w:r>
            <w:proofErr w:type="gramStart"/>
            <w:r>
              <w:t>созыва</w:t>
            </w:r>
            <w:proofErr w:type="spellEnd"/>
            <w:r>
              <w:t xml:space="preserve">  за</w:t>
            </w:r>
            <w:proofErr w:type="gramEnd"/>
            <w:r>
              <w:t xml:space="preserve"> истекший период  2025 года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Устав муниципального образования «Чебаркульский городской округ»,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  <w:r>
              <w:t>Порядок организации работы с наказами избирателей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Председатель Собрания депутатов;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Глава Чебаркульского городского округа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Главные распорядители бюджетных средств по соответствующей МП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нормотворчеству…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бюджетно-финансовой и экономической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ПДК по </w:t>
            </w:r>
            <w:proofErr w:type="gramStart"/>
            <w:r w:rsidRPr="001F20F8">
              <w:t>социальной  и</w:t>
            </w:r>
            <w:proofErr w:type="gramEnd"/>
            <w:r w:rsidRPr="001F20F8">
              <w:t xml:space="preserve"> молодежной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экологии, природопользованию, и туризму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E81386" w:rsidRDefault="001F20F8" w:rsidP="001F20F8">
            <w:pPr>
              <w:spacing w:line="276" w:lineRule="auto"/>
              <w:jc w:val="center"/>
              <w:rPr>
                <w:b/>
              </w:rPr>
            </w:pPr>
            <w:r w:rsidRPr="00E81386">
              <w:rPr>
                <w:b/>
              </w:rPr>
              <w:t xml:space="preserve">Июнь 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E81386">
              <w:rPr>
                <w:b/>
              </w:rPr>
              <w:t>17.06.2025г</w:t>
            </w:r>
            <w:r w:rsidRPr="001F20F8">
              <w:t>.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О назначении выборов депутатов Собрания депутатов Чебаркульского городского округа VII созыва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/2025-2030 </w:t>
            </w:r>
            <w:proofErr w:type="spellStart"/>
            <w:r w:rsidRPr="001F20F8">
              <w:t>г.г</w:t>
            </w:r>
            <w:proofErr w:type="spellEnd"/>
            <w:r w:rsidRPr="001F20F8">
              <w:t>./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П.7. ст.10 Федерального закона «Об основных гарантиях избирательных </w:t>
            </w:r>
            <w:proofErr w:type="gramStart"/>
            <w:r>
              <w:t>прав  и</w:t>
            </w:r>
            <w:proofErr w:type="gramEnd"/>
            <w:r>
              <w:t xml:space="preserve"> права на участие  в референдуме граждан Российской Федерации»  от  12.06.2002г. № 67-ФЗ; Устав муниципального образования «Чебаркульский городской округ»,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Администрация </w:t>
            </w:r>
            <w:proofErr w:type="gramStart"/>
            <w:r>
              <w:t>Чебаркульского  городского</w:t>
            </w:r>
            <w:proofErr w:type="gramEnd"/>
            <w:r>
              <w:t xml:space="preserve"> округа,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Собрание депутатов Чебаркульского городского округа,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Глава и Председатель Собрания депутатов Чебаркульского городского округа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нормотворчеству…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бюджетно-финансовой и экономической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ПДК по </w:t>
            </w:r>
            <w:proofErr w:type="gramStart"/>
            <w:r w:rsidRPr="001F20F8">
              <w:t>социальной  и</w:t>
            </w:r>
            <w:proofErr w:type="gramEnd"/>
            <w:r w:rsidRPr="001F20F8">
              <w:t xml:space="preserve"> молодежной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экологии, природопользованию, и туризму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>
              <w:t>О плане работы Собрания депутатов Чебаркульского городского округа на   третий квартал 2025 года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Управляющий делами Собрания депутатов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нормотворчеству…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бюджетно-финансовой и экономической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ПДК по </w:t>
            </w:r>
            <w:proofErr w:type="gramStart"/>
            <w:r w:rsidRPr="001F20F8">
              <w:t>социальной  и</w:t>
            </w:r>
            <w:proofErr w:type="gramEnd"/>
            <w:r w:rsidRPr="001F20F8">
              <w:t xml:space="preserve"> молодежной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экологии, природопользованию, и туризму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 w:rsidRPr="001F20F8">
              <w:t>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О мероприятиях по подготовке образовательных учреждений к новому 2025-</w:t>
            </w:r>
            <w:proofErr w:type="gramStart"/>
            <w:r>
              <w:t>2026  учебному</w:t>
            </w:r>
            <w:proofErr w:type="gramEnd"/>
            <w:r>
              <w:t xml:space="preserve"> году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Устав муниципального образования «Чебаркульский городской округ»,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Заместитель главы городского округа по социальным вопросам, начальник Управления образования администрации, начальник Управления культуры администрации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ПДК по социальной и молодежной политике 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О мероприятиях по подготовке жилищного фонда к эксплуатации в отопительный период 2025-</w:t>
            </w:r>
            <w:proofErr w:type="gramStart"/>
            <w:r w:rsidRPr="001F20F8">
              <w:t xml:space="preserve">2026  </w:t>
            </w:r>
            <w:proofErr w:type="spellStart"/>
            <w:r w:rsidRPr="001F20F8">
              <w:t>г.г</w:t>
            </w:r>
            <w:proofErr w:type="spellEnd"/>
            <w:r w:rsidRPr="001F20F8">
              <w:t>.</w:t>
            </w:r>
            <w:proofErr w:type="gramEnd"/>
            <w:r w:rsidRPr="001F20F8">
              <w:t>, в том числе  за счет тарифа на содержание и ремонт общего имущества многоквартирных домов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Устав муниципального образования «Чебаркульский городской округ», 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Регламент Собрания депутатов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Заместитель главы городского округа по городскому хозяйству, начальник УЖКХ 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О мерах, принимаемых администрацией Чебаркульского городского округа по созданию условий для безопасного дорожного движения на территории города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Устав муниципального образования «Чебаркульский городской округ», </w:t>
            </w:r>
          </w:p>
          <w:p w:rsidR="001F20F8" w:rsidRDefault="001F20F8" w:rsidP="001F20F8">
            <w:pPr>
              <w:spacing w:line="276" w:lineRule="auto"/>
              <w:jc w:val="center"/>
            </w:pPr>
            <w:r>
              <w:t>Регламент Собрания депутатов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Заместитель главы городского округа по городскому хозяйству, начальник УЖКХ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Отчёт о результатах работы </w:t>
            </w:r>
            <w:proofErr w:type="gramStart"/>
            <w:r w:rsidRPr="001F20F8">
              <w:t>Управления  жилищно</w:t>
            </w:r>
            <w:proofErr w:type="gramEnd"/>
            <w:r w:rsidRPr="001F20F8">
              <w:t xml:space="preserve">-коммунального хозяйства администрации Чебаркульского городского округа за второй квартал  2025 год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Устав муниципального образования «Чебаркульский городской округ», 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Регламент Собрания депутатов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заместитель главы городского округа по городскому хозяйству; начальник УЖКХ,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Отчёт о результатах работы заместителя главы по городскому хозяйству за первое полугодие 2025 года (за истекший период времени)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Устав муниципального образования «Чебаркульский городской округ», 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Регламент Собрания депутатов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заместитель главы городского округа по городскому хозяйству; начальник УЖКХ,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Отчёт о результатах работы заместителя главы по социальным </w:t>
            </w:r>
            <w:proofErr w:type="gramStart"/>
            <w:r w:rsidRPr="001F20F8">
              <w:t>вопросам  за</w:t>
            </w:r>
            <w:proofErr w:type="gramEnd"/>
            <w:r w:rsidRPr="001F20F8">
              <w:t xml:space="preserve"> первое полугодие2025 года (за истекший период времени)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Устав муниципального образования «Чебаркульский городской округ», 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Регламент Собрания депутатов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>заместитель главы городского округа по социальной политике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социальной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</w:tr>
      <w:tr w:rsidR="001F20F8" w:rsidTr="001F20F8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Отчёт о результатах работы заместителя главы по имущественным и земельным правоотношениям, начальника УМС администрации за первое полугодие 2025 года (за истекший период времени)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 xml:space="preserve">Устав муниципального образования «Чебаркульский городской округ», 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Регламент Собрания депутатов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Default="001F20F8" w:rsidP="001F20F8">
            <w:pPr>
              <w:spacing w:line="276" w:lineRule="auto"/>
              <w:jc w:val="center"/>
            </w:pPr>
            <w:r>
              <w:t xml:space="preserve">заместитель главы городского округа по имущественным и земельным правоотношениям, начальник УМС администрации </w:t>
            </w:r>
          </w:p>
          <w:p w:rsidR="001F20F8" w:rsidRDefault="001F20F8" w:rsidP="001F20F8">
            <w:pPr>
              <w:spacing w:line="276" w:lineRule="auto"/>
              <w:jc w:val="center"/>
            </w:pPr>
          </w:p>
          <w:p w:rsidR="001F20F8" w:rsidRDefault="001F20F8" w:rsidP="001F20F8">
            <w:pPr>
              <w:spacing w:line="276" w:lineRule="auto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вопросам градостроительства, землепользования и городского хозяйства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  <w:r w:rsidRPr="001F20F8">
              <w:t>ПДК по бюджетно-финансовой и экономической политике</w:t>
            </w:r>
          </w:p>
          <w:p w:rsidR="001F20F8" w:rsidRPr="001F20F8" w:rsidRDefault="001F20F8" w:rsidP="001F20F8">
            <w:pPr>
              <w:spacing w:line="276" w:lineRule="auto"/>
              <w:jc w:val="center"/>
            </w:pPr>
          </w:p>
        </w:tc>
      </w:tr>
    </w:tbl>
    <w:p w:rsidR="00616367" w:rsidRDefault="00E81386">
      <w:r>
        <w:t xml:space="preserve">Управляющий делами Собрания депутатов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Н.Б. Якупова</w:t>
      </w:r>
    </w:p>
    <w:sectPr w:rsidR="00616367" w:rsidSect="00E81386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53586"/>
    <w:multiLevelType w:val="hybridMultilevel"/>
    <w:tmpl w:val="496AEA28"/>
    <w:lvl w:ilvl="0" w:tplc="4FC47224">
      <w:start w:val="1"/>
      <w:numFmt w:val="decimal"/>
      <w:lvlText w:val="%1."/>
      <w:lvlJc w:val="left"/>
      <w:pPr>
        <w:ind w:left="5025" w:hanging="360"/>
      </w:pPr>
    </w:lvl>
    <w:lvl w:ilvl="1" w:tplc="04190019">
      <w:start w:val="1"/>
      <w:numFmt w:val="lowerLetter"/>
      <w:lvlText w:val="%2."/>
      <w:lvlJc w:val="left"/>
      <w:pPr>
        <w:ind w:left="5745" w:hanging="360"/>
      </w:pPr>
    </w:lvl>
    <w:lvl w:ilvl="2" w:tplc="0419001B">
      <w:start w:val="1"/>
      <w:numFmt w:val="lowerRoman"/>
      <w:lvlText w:val="%3."/>
      <w:lvlJc w:val="right"/>
      <w:pPr>
        <w:ind w:left="6465" w:hanging="180"/>
      </w:pPr>
    </w:lvl>
    <w:lvl w:ilvl="3" w:tplc="0419000F">
      <w:start w:val="1"/>
      <w:numFmt w:val="decimal"/>
      <w:lvlText w:val="%4."/>
      <w:lvlJc w:val="left"/>
      <w:pPr>
        <w:ind w:left="7185" w:hanging="360"/>
      </w:pPr>
    </w:lvl>
    <w:lvl w:ilvl="4" w:tplc="04190019">
      <w:start w:val="1"/>
      <w:numFmt w:val="lowerLetter"/>
      <w:lvlText w:val="%5."/>
      <w:lvlJc w:val="left"/>
      <w:pPr>
        <w:ind w:left="7905" w:hanging="360"/>
      </w:pPr>
    </w:lvl>
    <w:lvl w:ilvl="5" w:tplc="0419001B">
      <w:start w:val="1"/>
      <w:numFmt w:val="lowerRoman"/>
      <w:lvlText w:val="%6."/>
      <w:lvlJc w:val="right"/>
      <w:pPr>
        <w:ind w:left="8625" w:hanging="180"/>
      </w:pPr>
    </w:lvl>
    <w:lvl w:ilvl="6" w:tplc="0419000F">
      <w:start w:val="1"/>
      <w:numFmt w:val="decimal"/>
      <w:lvlText w:val="%7."/>
      <w:lvlJc w:val="left"/>
      <w:pPr>
        <w:ind w:left="9345" w:hanging="360"/>
      </w:pPr>
    </w:lvl>
    <w:lvl w:ilvl="7" w:tplc="04190019">
      <w:start w:val="1"/>
      <w:numFmt w:val="lowerLetter"/>
      <w:lvlText w:val="%8."/>
      <w:lvlJc w:val="left"/>
      <w:pPr>
        <w:ind w:left="10065" w:hanging="360"/>
      </w:pPr>
    </w:lvl>
    <w:lvl w:ilvl="8" w:tplc="0419001B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C0D"/>
    <w:rsid w:val="000375F9"/>
    <w:rsid w:val="00074C0D"/>
    <w:rsid w:val="001A49C1"/>
    <w:rsid w:val="001C0230"/>
    <w:rsid w:val="001F20F8"/>
    <w:rsid w:val="00396E71"/>
    <w:rsid w:val="00600F0A"/>
    <w:rsid w:val="00616367"/>
    <w:rsid w:val="00763F37"/>
    <w:rsid w:val="00934344"/>
    <w:rsid w:val="00A827D5"/>
    <w:rsid w:val="00AA0AF7"/>
    <w:rsid w:val="00B72AC5"/>
    <w:rsid w:val="00CE4762"/>
    <w:rsid w:val="00D525A2"/>
    <w:rsid w:val="00E23F9E"/>
    <w:rsid w:val="00E81386"/>
    <w:rsid w:val="00F96DAA"/>
    <w:rsid w:val="00FE2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0824"/>
  <w15:docId w15:val="{1E334CD0-EDA3-4BE0-8BBD-DD4AFF5D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9C1"/>
    <w:pPr>
      <w:spacing w:before="100" w:beforeAutospacing="1" w:after="100" w:afterAutospacing="1"/>
    </w:pPr>
  </w:style>
  <w:style w:type="paragraph" w:customStyle="1" w:styleId="a4">
    <w:basedOn w:val="a"/>
    <w:next w:val="a5"/>
    <w:link w:val="a6"/>
    <w:qFormat/>
    <w:rsid w:val="001A49C1"/>
    <w:pPr>
      <w:jc w:val="center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a6">
    <w:name w:val="Название Знак"/>
    <w:link w:val="a4"/>
    <w:rsid w:val="001A49C1"/>
    <w:rPr>
      <w:b/>
      <w:bCs/>
      <w:i/>
      <w:iCs/>
      <w:sz w:val="24"/>
      <w:szCs w:val="24"/>
    </w:rPr>
  </w:style>
  <w:style w:type="paragraph" w:styleId="a5">
    <w:name w:val="Title"/>
    <w:basedOn w:val="a"/>
    <w:next w:val="a"/>
    <w:link w:val="a7"/>
    <w:uiPriority w:val="10"/>
    <w:qFormat/>
    <w:rsid w:val="001A49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1A49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Якупова Н.Б.</cp:lastModifiedBy>
  <cp:revision>10</cp:revision>
  <cp:lastPrinted>2024-03-18T04:54:00Z</cp:lastPrinted>
  <dcterms:created xsi:type="dcterms:W3CDTF">2024-03-12T09:24:00Z</dcterms:created>
  <dcterms:modified xsi:type="dcterms:W3CDTF">2025-03-18T10:05:00Z</dcterms:modified>
</cp:coreProperties>
</file>